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945" w:rsidRDefault="00863583">
      <w:pPr>
        <w:rPr>
          <w:b/>
          <w:sz w:val="48"/>
          <w:szCs w:val="48"/>
        </w:rPr>
      </w:pPr>
      <w:r w:rsidRPr="00863583">
        <w:rPr>
          <w:b/>
          <w:sz w:val="48"/>
          <w:szCs w:val="48"/>
        </w:rPr>
        <w:t>SOG</w:t>
      </w:r>
    </w:p>
    <w:p w:rsidR="003817A4" w:rsidRPr="00863583" w:rsidRDefault="003817A4">
      <w:pPr>
        <w:rPr>
          <w:b/>
          <w:sz w:val="28"/>
          <w:szCs w:val="28"/>
        </w:rPr>
      </w:pPr>
    </w:p>
    <w:p w:rsidR="00FE1C1C" w:rsidRPr="00FE1C1C" w:rsidRDefault="00FE1C1C" w:rsidP="00FE1C1C">
      <w:pPr>
        <w:rPr>
          <w:b/>
          <w:sz w:val="32"/>
          <w:szCs w:val="32"/>
        </w:rPr>
      </w:pPr>
      <w:r w:rsidRPr="00FE1C1C">
        <w:rPr>
          <w:b/>
          <w:sz w:val="32"/>
          <w:szCs w:val="32"/>
        </w:rPr>
        <w:t>Responses While At Minimum Manning</w:t>
      </w:r>
    </w:p>
    <w:p w:rsidR="00FE1C1C" w:rsidRDefault="00FE1C1C" w:rsidP="00FE1C1C">
      <w:pPr>
        <w:rPr>
          <w:sz w:val="28"/>
          <w:szCs w:val="28"/>
        </w:rPr>
      </w:pPr>
    </w:p>
    <w:p w:rsidR="00FE1C1C" w:rsidRPr="00FE1C1C" w:rsidRDefault="00FE1C1C" w:rsidP="00FE1C1C">
      <w:pPr>
        <w:spacing w:after="160" w:line="259" w:lineRule="auto"/>
        <w:rPr>
          <w:sz w:val="24"/>
          <w:szCs w:val="24"/>
        </w:rPr>
      </w:pPr>
      <w:r w:rsidRPr="00FE1C1C">
        <w:rPr>
          <w:sz w:val="28"/>
          <w:szCs w:val="28"/>
        </w:rPr>
        <w:t>Section 1:  Introduction</w:t>
      </w:r>
    </w:p>
    <w:p w:rsidR="00FE1C1C" w:rsidRPr="00FE1C1C" w:rsidRDefault="00FE1C1C" w:rsidP="00FE1C1C">
      <w:pPr>
        <w:spacing w:after="160" w:line="259" w:lineRule="auto"/>
        <w:rPr>
          <w:sz w:val="24"/>
          <w:szCs w:val="24"/>
        </w:rPr>
      </w:pPr>
      <w:r w:rsidRPr="00FE1C1C">
        <w:rPr>
          <w:sz w:val="24"/>
          <w:szCs w:val="24"/>
        </w:rPr>
        <w:t>This Suggested Operating Guideline has been established to provide basic operating guidelines for personnel.  These guidelines are not all-inclusive and may need to be deviated from as conditions dictate.  This SOG does not create rights, or duties that are enforceable in court.</w:t>
      </w:r>
    </w:p>
    <w:p w:rsidR="00FE1C1C" w:rsidRPr="00FE1C1C" w:rsidRDefault="00FE1C1C" w:rsidP="00FE1C1C">
      <w:pPr>
        <w:spacing w:after="160" w:line="259" w:lineRule="auto"/>
        <w:rPr>
          <w:sz w:val="24"/>
          <w:szCs w:val="24"/>
        </w:rPr>
      </w:pPr>
      <w:r w:rsidRPr="00FE1C1C">
        <w:rPr>
          <w:sz w:val="24"/>
          <w:szCs w:val="24"/>
        </w:rPr>
        <w:t xml:space="preserve">This guideline has been developed to provide information and recommend practices for crews responding on alarms while at minimum manning.  As with any response safety of the responders is the first consideration.  These practices will help to insure the safety of responders while operating at minimum manning.  </w:t>
      </w:r>
    </w:p>
    <w:p w:rsidR="00FE1C1C" w:rsidRPr="00FE1C1C" w:rsidRDefault="00FE1C1C" w:rsidP="00FE1C1C">
      <w:pPr>
        <w:spacing w:after="160" w:line="259" w:lineRule="auto"/>
        <w:rPr>
          <w:sz w:val="24"/>
          <w:szCs w:val="24"/>
        </w:rPr>
      </w:pPr>
      <w:r w:rsidRPr="00FE1C1C">
        <w:rPr>
          <w:sz w:val="24"/>
          <w:szCs w:val="24"/>
        </w:rPr>
        <w:t>Keep in mind for a minimum manning situation we are talking about changes in duties for personnel on the scene of alarms.</w:t>
      </w:r>
    </w:p>
    <w:p w:rsidR="00FE1C1C" w:rsidRPr="00FE1C1C" w:rsidRDefault="00FE1C1C" w:rsidP="00FE1C1C">
      <w:pPr>
        <w:spacing w:after="160" w:line="259" w:lineRule="auto"/>
        <w:rPr>
          <w:sz w:val="28"/>
          <w:szCs w:val="28"/>
        </w:rPr>
      </w:pPr>
    </w:p>
    <w:p w:rsidR="00FE1C1C" w:rsidRPr="00FE1C1C" w:rsidRDefault="00FE1C1C" w:rsidP="00FE1C1C">
      <w:pPr>
        <w:spacing w:after="160" w:line="259" w:lineRule="auto"/>
        <w:rPr>
          <w:sz w:val="24"/>
          <w:szCs w:val="24"/>
        </w:rPr>
      </w:pPr>
      <w:r w:rsidRPr="00FE1C1C">
        <w:rPr>
          <w:sz w:val="28"/>
          <w:szCs w:val="28"/>
        </w:rPr>
        <w:t>Section 2: Responses</w:t>
      </w:r>
    </w:p>
    <w:p w:rsidR="00FE1C1C" w:rsidRPr="00FE1C1C" w:rsidRDefault="00FE1C1C" w:rsidP="00FE1C1C">
      <w:pPr>
        <w:spacing w:after="160" w:line="259" w:lineRule="auto"/>
        <w:rPr>
          <w:sz w:val="24"/>
          <w:szCs w:val="24"/>
        </w:rPr>
      </w:pPr>
      <w:r w:rsidRPr="00FE1C1C">
        <w:rPr>
          <w:sz w:val="24"/>
          <w:szCs w:val="24"/>
        </w:rPr>
        <w:t>Most alarms we respond to day to day will not need to be changed while at minimum manning for example EMS, Check the areas, Vehicle accidents etc.</w:t>
      </w:r>
    </w:p>
    <w:p w:rsidR="00FE1C1C" w:rsidRPr="00FE1C1C" w:rsidRDefault="00FE1C1C" w:rsidP="00FE1C1C">
      <w:pPr>
        <w:spacing w:after="160" w:line="259" w:lineRule="auto"/>
        <w:rPr>
          <w:sz w:val="24"/>
          <w:szCs w:val="24"/>
        </w:rPr>
      </w:pPr>
      <w:r w:rsidRPr="00FE1C1C">
        <w:rPr>
          <w:sz w:val="24"/>
          <w:szCs w:val="24"/>
        </w:rPr>
        <w:t>Alarms where changes should be considered would be any alarm where an IDLH environment may exist IE Structure fires Residential/ Commercial, CO alarms, Alarm soundings Residential/ Commercial and Interior gas leaks to name a few.</w:t>
      </w:r>
    </w:p>
    <w:p w:rsidR="00FE1C1C" w:rsidRPr="00FE1C1C" w:rsidRDefault="00FE1C1C" w:rsidP="00FE1C1C">
      <w:pPr>
        <w:spacing w:after="160" w:line="259" w:lineRule="auto"/>
        <w:rPr>
          <w:sz w:val="24"/>
          <w:szCs w:val="24"/>
        </w:rPr>
      </w:pPr>
      <w:r w:rsidRPr="00FE1C1C">
        <w:rPr>
          <w:sz w:val="24"/>
          <w:szCs w:val="24"/>
        </w:rPr>
        <w:t xml:space="preserve">During alarms where an IDLH environment may exist it is recommended that the Engineer of the apparatus be dressed in full PPE and SCBA and ready to work as a Firefighter once additional personnel arrive IE Duty Officer, Chief Officers or other personnel to man the apparatus.  </w:t>
      </w:r>
    </w:p>
    <w:p w:rsidR="00FE1C1C" w:rsidRPr="00FE1C1C" w:rsidRDefault="00FE1C1C" w:rsidP="00FE1C1C">
      <w:pPr>
        <w:spacing w:after="160" w:line="259" w:lineRule="auto"/>
        <w:rPr>
          <w:sz w:val="24"/>
          <w:szCs w:val="24"/>
        </w:rPr>
      </w:pPr>
      <w:r w:rsidRPr="00FE1C1C">
        <w:rPr>
          <w:sz w:val="24"/>
          <w:szCs w:val="24"/>
        </w:rPr>
        <w:t>The decision to make entry into any IDLH environment with only two personnel on scene should not be taken lightly.</w:t>
      </w:r>
    </w:p>
    <w:p w:rsidR="00FE1C1C" w:rsidRPr="00FE1C1C" w:rsidRDefault="00FE1C1C" w:rsidP="00FE1C1C">
      <w:pPr>
        <w:spacing w:after="160" w:line="259" w:lineRule="auto"/>
        <w:rPr>
          <w:sz w:val="24"/>
          <w:szCs w:val="24"/>
        </w:rPr>
      </w:pPr>
      <w:r w:rsidRPr="00FE1C1C">
        <w:rPr>
          <w:sz w:val="24"/>
          <w:szCs w:val="24"/>
        </w:rPr>
        <w:t>Structure Fires:  Use of a fire attack from the exterior should be used to keep progression of the fire in check. Once additional crews arrive, an interior attack can then be used.</w:t>
      </w:r>
    </w:p>
    <w:p w:rsidR="00FE1C1C" w:rsidRPr="00FE1C1C" w:rsidRDefault="00FE1C1C" w:rsidP="00FE1C1C">
      <w:pPr>
        <w:spacing w:after="160" w:line="259" w:lineRule="auto"/>
        <w:rPr>
          <w:sz w:val="24"/>
          <w:szCs w:val="24"/>
        </w:rPr>
      </w:pPr>
      <w:r w:rsidRPr="00FE1C1C">
        <w:rPr>
          <w:sz w:val="24"/>
          <w:szCs w:val="24"/>
        </w:rPr>
        <w:lastRenderedPageBreak/>
        <w:t xml:space="preserve">Structure Fires with entrapment:  When a report of persons trapped inside a structure crews should consider using techniques such as Vent Enter Search or using the TIC to search from windows and doors.  </w:t>
      </w:r>
    </w:p>
    <w:p w:rsidR="00FE1C1C" w:rsidRPr="00FE1C1C" w:rsidRDefault="00FE1C1C" w:rsidP="00FE1C1C">
      <w:pPr>
        <w:spacing w:after="160" w:line="259" w:lineRule="auto"/>
        <w:rPr>
          <w:sz w:val="24"/>
          <w:szCs w:val="24"/>
        </w:rPr>
      </w:pPr>
      <w:r w:rsidRPr="00FE1C1C">
        <w:rPr>
          <w:sz w:val="24"/>
          <w:szCs w:val="24"/>
        </w:rPr>
        <w:t xml:space="preserve">Co and Fire Alarm Soundings:  On these type of alarms the engineer will gear up with full PPE and SCBA and appropriate equipment (TIC, water can and tool) and make entry with the officer as a team.  </w:t>
      </w:r>
    </w:p>
    <w:p w:rsidR="00863583" w:rsidRPr="00863583" w:rsidRDefault="00FE1C1C" w:rsidP="007D6148">
      <w:pPr>
        <w:spacing w:after="160" w:line="259" w:lineRule="auto"/>
        <w:rPr>
          <w:sz w:val="24"/>
          <w:szCs w:val="24"/>
        </w:rPr>
      </w:pPr>
      <w:r w:rsidRPr="00FE1C1C">
        <w:rPr>
          <w:sz w:val="24"/>
          <w:szCs w:val="24"/>
        </w:rPr>
        <w:t>Inside Gas Leak:  On these type of alarms the engineer will gear up with full PPE and SCBA and appropriate equipment (TIC, water can and tool) and be ready to make entry.  The choice to make entry before more personnel arrive would be dependent on the reported severity of the leak.</w:t>
      </w:r>
      <w:bookmarkStart w:id="0" w:name="_GoBack"/>
      <w:bookmarkEnd w:id="0"/>
    </w:p>
    <w:sectPr w:rsidR="00863583" w:rsidRPr="0086358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AA8" w:rsidRDefault="00B62AA8" w:rsidP="00B62AA8">
      <w:r>
        <w:separator/>
      </w:r>
    </w:p>
  </w:endnote>
  <w:endnote w:type="continuationSeparator" w:id="0">
    <w:p w:rsidR="00B62AA8" w:rsidRDefault="00B62AA8" w:rsidP="00B6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AA8" w:rsidRDefault="00B62AA8" w:rsidP="00B62AA8">
      <w:r>
        <w:separator/>
      </w:r>
    </w:p>
  </w:footnote>
  <w:footnote w:type="continuationSeparator" w:id="0">
    <w:p w:rsidR="00B62AA8" w:rsidRDefault="00B62AA8" w:rsidP="00B62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AA8" w:rsidRDefault="00B62AA8">
    <w:pPr>
      <w:pStyle w:val="Header"/>
    </w:pPr>
  </w:p>
  <w:tbl>
    <w:tblPr>
      <w:tblW w:w="104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191"/>
      <w:gridCol w:w="4569"/>
      <w:gridCol w:w="4703"/>
    </w:tblGrid>
    <w:tr w:rsidR="00B62AA8" w:rsidRPr="00B62AA8" w:rsidTr="00666B1F">
      <w:trPr>
        <w:trHeight w:val="312"/>
      </w:trPr>
      <w:tc>
        <w:tcPr>
          <w:tcW w:w="1191" w:type="dxa"/>
          <w:vMerge w:val="restart"/>
          <w:tcBorders>
            <w:top w:val="single" w:sz="4" w:space="0" w:color="auto"/>
            <w:left w:val="single" w:sz="4" w:space="0" w:color="auto"/>
            <w:right w:val="single" w:sz="4" w:space="0" w:color="auto"/>
          </w:tcBorders>
          <w:shd w:val="clear" w:color="auto" w:fill="D9D9D9"/>
        </w:tcPr>
        <w:p w:rsidR="00B62AA8" w:rsidRPr="00B62AA8" w:rsidRDefault="00B62AA8" w:rsidP="00B62AA8">
          <w:pPr>
            <w:jc w:val="center"/>
            <w:rPr>
              <w:rFonts w:ascii="Arial" w:eastAsia="Times New Roman" w:hAnsi="Arial" w:cs="Arial"/>
              <w:b/>
              <w:sz w:val="28"/>
              <w:szCs w:val="28"/>
            </w:rPr>
          </w:pPr>
          <w:r w:rsidRPr="00B62AA8">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3A03FFF5" wp14:editId="467F2708">
                <wp:simplePos x="0" y="0"/>
                <wp:positionH relativeFrom="column">
                  <wp:posOffset>-40640</wp:posOffset>
                </wp:positionH>
                <wp:positionV relativeFrom="paragraph">
                  <wp:posOffset>101600</wp:posOffset>
                </wp:positionV>
                <wp:extent cx="619125" cy="619125"/>
                <wp:effectExtent l="0" t="0" r="9525" b="9525"/>
                <wp:wrapNone/>
                <wp:docPr id="2" name="Picture 2" descr="patch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ch15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2AA8" w:rsidRPr="00B62AA8" w:rsidRDefault="00B62AA8" w:rsidP="00B62AA8">
          <w:pPr>
            <w:jc w:val="center"/>
            <w:rPr>
              <w:rFonts w:ascii="Arial" w:eastAsia="Times New Roman" w:hAnsi="Arial" w:cs="Arial"/>
              <w:b/>
              <w:sz w:val="28"/>
              <w:szCs w:val="28"/>
            </w:rPr>
          </w:pPr>
        </w:p>
      </w:tc>
      <w:tc>
        <w:tcPr>
          <w:tcW w:w="4569" w:type="dxa"/>
          <w:vMerge w:val="restart"/>
          <w:tcBorders>
            <w:top w:val="single" w:sz="4" w:space="0" w:color="auto"/>
            <w:left w:val="single" w:sz="4" w:space="0" w:color="auto"/>
            <w:right w:val="single" w:sz="4" w:space="0" w:color="auto"/>
          </w:tcBorders>
          <w:shd w:val="clear" w:color="auto" w:fill="D9D9D9"/>
          <w:vAlign w:val="center"/>
        </w:tcPr>
        <w:p w:rsidR="00B62AA8" w:rsidRPr="00B62AA8" w:rsidRDefault="00B62AA8" w:rsidP="00B62AA8">
          <w:pPr>
            <w:jc w:val="center"/>
            <w:rPr>
              <w:rFonts w:ascii="Arial" w:eastAsia="Times New Roman" w:hAnsi="Arial" w:cs="Arial"/>
              <w:b/>
              <w:sz w:val="28"/>
              <w:szCs w:val="28"/>
            </w:rPr>
          </w:pPr>
          <w:smartTag w:uri="urn:schemas-microsoft-com:office:smarttags" w:element="PersonName">
            <w:r w:rsidRPr="00B62AA8">
              <w:rPr>
                <w:rFonts w:ascii="Arial" w:eastAsia="Times New Roman" w:hAnsi="Arial" w:cs="Arial"/>
                <w:b/>
                <w:sz w:val="28"/>
                <w:szCs w:val="28"/>
              </w:rPr>
              <w:t>Pacific Fire</w:t>
            </w:r>
          </w:smartTag>
          <w:r w:rsidRPr="00B62AA8">
            <w:rPr>
              <w:rFonts w:ascii="Arial" w:eastAsia="Times New Roman" w:hAnsi="Arial" w:cs="Arial"/>
              <w:b/>
              <w:sz w:val="28"/>
              <w:szCs w:val="28"/>
            </w:rPr>
            <w:t xml:space="preserve"> Protection District</w:t>
          </w:r>
        </w:p>
        <w:p w:rsidR="00B62AA8" w:rsidRPr="00B62AA8" w:rsidRDefault="00B62AA8" w:rsidP="00B62AA8">
          <w:pPr>
            <w:jc w:val="center"/>
            <w:rPr>
              <w:rFonts w:ascii="Arial" w:eastAsia="Times New Roman" w:hAnsi="Arial" w:cs="Arial"/>
              <w:b/>
              <w:sz w:val="28"/>
              <w:szCs w:val="28"/>
            </w:rPr>
          </w:pPr>
          <w:r w:rsidRPr="00B62AA8">
            <w:rPr>
              <w:rFonts w:ascii="Arial" w:eastAsia="Times New Roman" w:hAnsi="Arial" w:cs="Arial"/>
              <w:b/>
              <w:sz w:val="28"/>
              <w:szCs w:val="28"/>
            </w:rPr>
            <w:t>Suggested Operating Guidelines</w:t>
          </w:r>
        </w:p>
      </w:tc>
      <w:tc>
        <w:tcPr>
          <w:tcW w:w="4703" w:type="dxa"/>
          <w:tcBorders>
            <w:top w:val="single" w:sz="4" w:space="0" w:color="auto"/>
            <w:left w:val="single" w:sz="4" w:space="0" w:color="auto"/>
            <w:bottom w:val="single" w:sz="4" w:space="0" w:color="auto"/>
            <w:right w:val="single" w:sz="4" w:space="0" w:color="auto"/>
          </w:tcBorders>
          <w:shd w:val="clear" w:color="auto" w:fill="D9D9D9"/>
          <w:vAlign w:val="center"/>
        </w:tcPr>
        <w:p w:rsidR="00656BFD" w:rsidRDefault="00F97DBB" w:rsidP="00B62AA8">
          <w:pPr>
            <w:rPr>
              <w:rFonts w:ascii="Arial" w:eastAsia="Times New Roman" w:hAnsi="Arial" w:cs="Arial"/>
              <w:b/>
              <w:sz w:val="20"/>
              <w:szCs w:val="20"/>
            </w:rPr>
          </w:pPr>
          <w:r>
            <w:rPr>
              <w:rFonts w:ascii="Arial" w:eastAsia="Times New Roman" w:hAnsi="Arial" w:cs="Arial"/>
              <w:b/>
              <w:sz w:val="20"/>
              <w:szCs w:val="20"/>
            </w:rPr>
            <w:t xml:space="preserve">Subject: </w:t>
          </w:r>
          <w:r w:rsidR="00656BFD">
            <w:rPr>
              <w:rFonts w:ascii="Arial" w:eastAsia="Times New Roman" w:hAnsi="Arial" w:cs="Arial"/>
              <w:b/>
              <w:sz w:val="20"/>
              <w:szCs w:val="20"/>
            </w:rPr>
            <w:t>Responses While At Minimum</w:t>
          </w:r>
        </w:p>
        <w:p w:rsidR="00B62AA8" w:rsidRPr="00B62AA8" w:rsidRDefault="00656BFD" w:rsidP="00B62AA8">
          <w:pPr>
            <w:rPr>
              <w:rFonts w:ascii="Arial" w:eastAsia="Times New Roman" w:hAnsi="Arial" w:cs="Arial"/>
              <w:b/>
              <w:sz w:val="20"/>
              <w:szCs w:val="20"/>
            </w:rPr>
          </w:pPr>
          <w:r>
            <w:rPr>
              <w:rFonts w:ascii="Arial" w:eastAsia="Times New Roman" w:hAnsi="Arial" w:cs="Arial"/>
              <w:b/>
              <w:sz w:val="20"/>
              <w:szCs w:val="20"/>
            </w:rPr>
            <w:t xml:space="preserve">               Manning</w:t>
          </w:r>
        </w:p>
      </w:tc>
    </w:tr>
    <w:tr w:rsidR="00B62AA8" w:rsidRPr="00B62AA8" w:rsidTr="00666B1F">
      <w:trPr>
        <w:trHeight w:val="313"/>
      </w:trPr>
      <w:tc>
        <w:tcPr>
          <w:tcW w:w="1191" w:type="dxa"/>
          <w:vMerge/>
          <w:tcBorders>
            <w:left w:val="single" w:sz="4" w:space="0" w:color="auto"/>
            <w:bottom w:val="nil"/>
            <w:right w:val="single" w:sz="4" w:space="0" w:color="auto"/>
          </w:tcBorders>
          <w:shd w:val="clear" w:color="auto" w:fill="D9D9D9"/>
        </w:tcPr>
        <w:p w:rsidR="00B62AA8" w:rsidRPr="00B62AA8" w:rsidRDefault="00B62AA8" w:rsidP="00B62AA8">
          <w:pPr>
            <w:jc w:val="center"/>
            <w:rPr>
              <w:rFonts w:ascii="Times New Roman" w:eastAsia="Times New Roman" w:hAnsi="Times New Roman" w:cs="Times New Roman"/>
              <w:noProof/>
              <w:sz w:val="20"/>
              <w:szCs w:val="20"/>
            </w:rPr>
          </w:pPr>
        </w:p>
      </w:tc>
      <w:tc>
        <w:tcPr>
          <w:tcW w:w="4569" w:type="dxa"/>
          <w:vMerge/>
          <w:tcBorders>
            <w:left w:val="single" w:sz="4" w:space="0" w:color="auto"/>
            <w:right w:val="single" w:sz="4" w:space="0" w:color="auto"/>
          </w:tcBorders>
          <w:shd w:val="clear" w:color="auto" w:fill="D9D9D9"/>
          <w:vAlign w:val="center"/>
        </w:tcPr>
        <w:p w:rsidR="00B62AA8" w:rsidRPr="00B62AA8" w:rsidRDefault="00B62AA8" w:rsidP="00B62AA8">
          <w:pPr>
            <w:jc w:val="center"/>
            <w:rPr>
              <w:rFonts w:ascii="Arial" w:eastAsia="Times New Roman" w:hAnsi="Arial" w:cs="Arial"/>
              <w:b/>
              <w:sz w:val="28"/>
              <w:szCs w:val="28"/>
            </w:rPr>
          </w:pPr>
        </w:p>
      </w:tc>
      <w:tc>
        <w:tcPr>
          <w:tcW w:w="4703" w:type="dxa"/>
          <w:tcBorders>
            <w:top w:val="single" w:sz="4" w:space="0" w:color="auto"/>
            <w:left w:val="single" w:sz="4" w:space="0" w:color="auto"/>
            <w:bottom w:val="single" w:sz="4" w:space="0" w:color="auto"/>
            <w:right w:val="single" w:sz="4" w:space="0" w:color="auto"/>
          </w:tcBorders>
          <w:shd w:val="clear" w:color="auto" w:fill="D9D9D9"/>
          <w:vAlign w:val="center"/>
        </w:tcPr>
        <w:p w:rsidR="00B62AA8" w:rsidRPr="00B62AA8" w:rsidRDefault="00B62AA8" w:rsidP="00453B15">
          <w:pPr>
            <w:rPr>
              <w:rFonts w:ascii="Arial" w:eastAsia="Times New Roman" w:hAnsi="Arial" w:cs="Arial"/>
              <w:b/>
              <w:sz w:val="20"/>
              <w:szCs w:val="20"/>
            </w:rPr>
          </w:pPr>
          <w:r w:rsidRPr="00B62AA8">
            <w:rPr>
              <w:rFonts w:ascii="Arial" w:eastAsia="Times New Roman" w:hAnsi="Arial" w:cs="Arial"/>
              <w:b/>
              <w:sz w:val="20"/>
              <w:szCs w:val="20"/>
            </w:rPr>
            <w:t>Number:  0</w:t>
          </w:r>
          <w:r w:rsidR="00656BFD">
            <w:rPr>
              <w:rFonts w:ascii="Arial" w:eastAsia="Times New Roman" w:hAnsi="Arial" w:cs="Arial"/>
              <w:b/>
              <w:sz w:val="20"/>
              <w:szCs w:val="20"/>
            </w:rPr>
            <w:t>3</w:t>
          </w:r>
          <w:r w:rsidRPr="00B62AA8">
            <w:rPr>
              <w:rFonts w:ascii="Arial" w:eastAsia="Times New Roman" w:hAnsi="Arial" w:cs="Arial"/>
              <w:b/>
              <w:sz w:val="20"/>
              <w:szCs w:val="20"/>
            </w:rPr>
            <w:t>-201</w:t>
          </w:r>
          <w:r w:rsidR="00453B15">
            <w:rPr>
              <w:rFonts w:ascii="Arial" w:eastAsia="Times New Roman" w:hAnsi="Arial" w:cs="Arial"/>
              <w:b/>
              <w:sz w:val="20"/>
              <w:szCs w:val="20"/>
            </w:rPr>
            <w:t>6</w:t>
          </w:r>
        </w:p>
      </w:tc>
    </w:tr>
    <w:tr w:rsidR="00B62AA8" w:rsidRPr="00B62AA8" w:rsidTr="00666B1F">
      <w:trPr>
        <w:trHeight w:val="312"/>
      </w:trPr>
      <w:tc>
        <w:tcPr>
          <w:tcW w:w="1191" w:type="dxa"/>
          <w:vMerge w:val="restart"/>
          <w:tcBorders>
            <w:top w:val="nil"/>
            <w:left w:val="single" w:sz="4" w:space="0" w:color="auto"/>
            <w:right w:val="single" w:sz="4" w:space="0" w:color="auto"/>
          </w:tcBorders>
          <w:shd w:val="clear" w:color="auto" w:fill="D9D9D9"/>
        </w:tcPr>
        <w:p w:rsidR="00B62AA8" w:rsidRPr="00B62AA8" w:rsidRDefault="00B62AA8" w:rsidP="00B62AA8">
          <w:pPr>
            <w:rPr>
              <w:rFonts w:ascii="Arial" w:eastAsia="Times New Roman" w:hAnsi="Arial" w:cs="Arial"/>
              <w:b/>
              <w:sz w:val="20"/>
              <w:szCs w:val="20"/>
            </w:rPr>
          </w:pPr>
        </w:p>
      </w:tc>
      <w:tc>
        <w:tcPr>
          <w:tcW w:w="4569" w:type="dxa"/>
          <w:vMerge/>
          <w:tcBorders>
            <w:left w:val="single" w:sz="4" w:space="0" w:color="auto"/>
            <w:right w:val="single" w:sz="4" w:space="0" w:color="auto"/>
          </w:tcBorders>
          <w:shd w:val="clear" w:color="auto" w:fill="D9D9D9"/>
        </w:tcPr>
        <w:p w:rsidR="00B62AA8" w:rsidRPr="00B62AA8" w:rsidRDefault="00B62AA8" w:rsidP="00B62AA8">
          <w:pPr>
            <w:rPr>
              <w:rFonts w:ascii="Arial" w:eastAsia="Times New Roman" w:hAnsi="Arial" w:cs="Arial"/>
              <w:b/>
              <w:sz w:val="20"/>
              <w:szCs w:val="20"/>
            </w:rPr>
          </w:pPr>
        </w:p>
      </w:tc>
      <w:tc>
        <w:tcPr>
          <w:tcW w:w="4703" w:type="dxa"/>
          <w:tcBorders>
            <w:top w:val="single" w:sz="4" w:space="0" w:color="auto"/>
            <w:left w:val="single" w:sz="4" w:space="0" w:color="auto"/>
            <w:bottom w:val="single" w:sz="4" w:space="0" w:color="auto"/>
            <w:right w:val="single" w:sz="4" w:space="0" w:color="auto"/>
          </w:tcBorders>
          <w:shd w:val="clear" w:color="auto" w:fill="D9D9D9"/>
          <w:vAlign w:val="center"/>
        </w:tcPr>
        <w:p w:rsidR="00B62AA8" w:rsidRPr="00B62AA8" w:rsidRDefault="00453B15" w:rsidP="00C7583D">
          <w:pPr>
            <w:rPr>
              <w:rFonts w:ascii="Arial" w:eastAsia="Times New Roman" w:hAnsi="Arial" w:cs="Arial"/>
              <w:b/>
              <w:sz w:val="20"/>
              <w:szCs w:val="20"/>
            </w:rPr>
          </w:pPr>
          <w:r>
            <w:rPr>
              <w:rFonts w:ascii="Arial" w:eastAsia="Times New Roman" w:hAnsi="Arial" w:cs="Arial"/>
              <w:b/>
              <w:sz w:val="20"/>
              <w:szCs w:val="20"/>
            </w:rPr>
            <w:t xml:space="preserve">Effective Date: </w:t>
          </w:r>
          <w:r w:rsidR="00656BFD">
            <w:rPr>
              <w:rFonts w:ascii="Arial" w:eastAsia="Times New Roman" w:hAnsi="Arial" w:cs="Arial"/>
              <w:b/>
              <w:sz w:val="20"/>
              <w:szCs w:val="20"/>
            </w:rPr>
            <w:t>May 12</w:t>
          </w:r>
          <w:r w:rsidR="00C7583D">
            <w:rPr>
              <w:rFonts w:ascii="Arial" w:eastAsia="Times New Roman" w:hAnsi="Arial" w:cs="Arial"/>
              <w:b/>
              <w:sz w:val="20"/>
              <w:szCs w:val="20"/>
            </w:rPr>
            <w:t>, 2016</w:t>
          </w:r>
        </w:p>
      </w:tc>
    </w:tr>
    <w:tr w:rsidR="00B62AA8" w:rsidRPr="00B62AA8" w:rsidTr="00666B1F">
      <w:trPr>
        <w:trHeight w:val="313"/>
      </w:trPr>
      <w:tc>
        <w:tcPr>
          <w:tcW w:w="1191" w:type="dxa"/>
          <w:vMerge/>
          <w:tcBorders>
            <w:top w:val="nil"/>
            <w:left w:val="single" w:sz="4" w:space="0" w:color="auto"/>
            <w:bottom w:val="nil"/>
            <w:right w:val="single" w:sz="4" w:space="0" w:color="auto"/>
          </w:tcBorders>
          <w:shd w:val="clear" w:color="auto" w:fill="D9D9D9"/>
        </w:tcPr>
        <w:p w:rsidR="00B62AA8" w:rsidRPr="00B62AA8" w:rsidRDefault="00B62AA8" w:rsidP="00B62AA8">
          <w:pPr>
            <w:rPr>
              <w:rFonts w:ascii="Arial" w:eastAsia="Times New Roman" w:hAnsi="Arial" w:cs="Arial"/>
              <w:b/>
              <w:sz w:val="20"/>
              <w:szCs w:val="20"/>
            </w:rPr>
          </w:pPr>
        </w:p>
      </w:tc>
      <w:tc>
        <w:tcPr>
          <w:tcW w:w="4569" w:type="dxa"/>
          <w:vMerge/>
          <w:tcBorders>
            <w:left w:val="single" w:sz="4" w:space="0" w:color="auto"/>
            <w:right w:val="single" w:sz="4" w:space="0" w:color="auto"/>
          </w:tcBorders>
          <w:shd w:val="clear" w:color="auto" w:fill="D9D9D9"/>
        </w:tcPr>
        <w:p w:rsidR="00B62AA8" w:rsidRPr="00B62AA8" w:rsidRDefault="00B62AA8" w:rsidP="00B62AA8">
          <w:pPr>
            <w:rPr>
              <w:rFonts w:ascii="Arial" w:eastAsia="Times New Roman" w:hAnsi="Arial" w:cs="Arial"/>
              <w:b/>
              <w:sz w:val="20"/>
              <w:szCs w:val="20"/>
            </w:rPr>
          </w:pPr>
        </w:p>
      </w:tc>
      <w:tc>
        <w:tcPr>
          <w:tcW w:w="4703" w:type="dxa"/>
          <w:tcBorders>
            <w:top w:val="single" w:sz="4" w:space="0" w:color="auto"/>
            <w:left w:val="single" w:sz="4" w:space="0" w:color="auto"/>
            <w:bottom w:val="single" w:sz="4" w:space="0" w:color="auto"/>
            <w:right w:val="single" w:sz="4" w:space="0" w:color="auto"/>
          </w:tcBorders>
          <w:shd w:val="clear" w:color="auto" w:fill="D9D9D9"/>
          <w:vAlign w:val="center"/>
        </w:tcPr>
        <w:p w:rsidR="00B62AA8" w:rsidRPr="00B62AA8" w:rsidRDefault="00453B15" w:rsidP="00B62AA8">
          <w:pPr>
            <w:rPr>
              <w:rFonts w:ascii="Arial" w:eastAsia="Times New Roman" w:hAnsi="Arial" w:cs="Arial"/>
              <w:b/>
              <w:sz w:val="20"/>
              <w:szCs w:val="20"/>
            </w:rPr>
          </w:pPr>
          <w:r>
            <w:rPr>
              <w:rFonts w:ascii="Arial" w:eastAsia="Times New Roman" w:hAnsi="Arial" w:cs="Arial"/>
              <w:b/>
              <w:sz w:val="20"/>
              <w:szCs w:val="20"/>
            </w:rPr>
            <w:t xml:space="preserve">Revised: </w:t>
          </w:r>
        </w:p>
      </w:tc>
    </w:tr>
    <w:tr w:rsidR="00B62AA8" w:rsidRPr="00B62AA8" w:rsidTr="00666B1F">
      <w:trPr>
        <w:trHeight w:val="313"/>
      </w:trPr>
      <w:tc>
        <w:tcPr>
          <w:tcW w:w="1191" w:type="dxa"/>
          <w:tcBorders>
            <w:top w:val="nil"/>
            <w:left w:val="single" w:sz="4" w:space="0" w:color="auto"/>
            <w:bottom w:val="single" w:sz="4" w:space="0" w:color="auto"/>
            <w:right w:val="single" w:sz="4" w:space="0" w:color="auto"/>
          </w:tcBorders>
          <w:shd w:val="clear" w:color="auto" w:fill="D9D9D9"/>
        </w:tcPr>
        <w:p w:rsidR="00B62AA8" w:rsidRPr="00B62AA8" w:rsidRDefault="00B62AA8" w:rsidP="00B62AA8">
          <w:pPr>
            <w:rPr>
              <w:rFonts w:ascii="Arial" w:eastAsia="Times New Roman" w:hAnsi="Arial" w:cs="Arial"/>
              <w:b/>
              <w:sz w:val="20"/>
              <w:szCs w:val="20"/>
            </w:rPr>
          </w:pPr>
        </w:p>
      </w:tc>
      <w:tc>
        <w:tcPr>
          <w:tcW w:w="4569" w:type="dxa"/>
          <w:vMerge/>
          <w:tcBorders>
            <w:left w:val="single" w:sz="4" w:space="0" w:color="auto"/>
            <w:bottom w:val="single" w:sz="4" w:space="0" w:color="auto"/>
            <w:right w:val="single" w:sz="4" w:space="0" w:color="auto"/>
          </w:tcBorders>
          <w:shd w:val="clear" w:color="auto" w:fill="D9D9D9"/>
        </w:tcPr>
        <w:p w:rsidR="00B62AA8" w:rsidRPr="00B62AA8" w:rsidRDefault="00B62AA8" w:rsidP="00B62AA8">
          <w:pPr>
            <w:rPr>
              <w:rFonts w:ascii="Arial" w:eastAsia="Times New Roman" w:hAnsi="Arial" w:cs="Arial"/>
              <w:b/>
              <w:sz w:val="20"/>
              <w:szCs w:val="20"/>
            </w:rPr>
          </w:pPr>
        </w:p>
      </w:tc>
      <w:tc>
        <w:tcPr>
          <w:tcW w:w="4703" w:type="dxa"/>
          <w:tcBorders>
            <w:top w:val="single" w:sz="4" w:space="0" w:color="auto"/>
            <w:left w:val="single" w:sz="4" w:space="0" w:color="auto"/>
            <w:bottom w:val="single" w:sz="4" w:space="0" w:color="auto"/>
            <w:right w:val="single" w:sz="4" w:space="0" w:color="auto"/>
          </w:tcBorders>
          <w:shd w:val="clear" w:color="auto" w:fill="D9D9D9"/>
          <w:vAlign w:val="center"/>
        </w:tcPr>
        <w:p w:rsidR="00B62AA8" w:rsidRPr="00B62AA8" w:rsidRDefault="00B62AA8" w:rsidP="00B62AA8">
          <w:pPr>
            <w:rPr>
              <w:rFonts w:ascii="Arial" w:eastAsia="Times New Roman" w:hAnsi="Arial" w:cs="Arial"/>
              <w:b/>
              <w:sz w:val="20"/>
              <w:szCs w:val="20"/>
            </w:rPr>
          </w:pPr>
          <w:r w:rsidRPr="00B62AA8">
            <w:rPr>
              <w:rFonts w:ascii="Arial" w:eastAsia="Times New Roman" w:hAnsi="Arial" w:cs="Arial"/>
              <w:b/>
              <w:sz w:val="20"/>
              <w:szCs w:val="20"/>
            </w:rPr>
            <w:t>Signed:</w:t>
          </w:r>
        </w:p>
      </w:tc>
    </w:tr>
  </w:tbl>
  <w:p w:rsidR="00B62AA8" w:rsidRDefault="00B62A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52"/>
    <w:rsid w:val="00105DC5"/>
    <w:rsid w:val="003817A4"/>
    <w:rsid w:val="004131EF"/>
    <w:rsid w:val="00453B15"/>
    <w:rsid w:val="005A1074"/>
    <w:rsid w:val="00656BFD"/>
    <w:rsid w:val="006C5CB6"/>
    <w:rsid w:val="00700478"/>
    <w:rsid w:val="007D6148"/>
    <w:rsid w:val="00863583"/>
    <w:rsid w:val="008D61B9"/>
    <w:rsid w:val="009140D3"/>
    <w:rsid w:val="00952343"/>
    <w:rsid w:val="00AA02F0"/>
    <w:rsid w:val="00AA1AF2"/>
    <w:rsid w:val="00AB379E"/>
    <w:rsid w:val="00AD4A52"/>
    <w:rsid w:val="00B62AA8"/>
    <w:rsid w:val="00C7583D"/>
    <w:rsid w:val="00DB4945"/>
    <w:rsid w:val="00E02ECA"/>
    <w:rsid w:val="00F97DBB"/>
    <w:rsid w:val="00FC63E3"/>
    <w:rsid w:val="00FE1C1C"/>
    <w:rsid w:val="00FE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0F0F9D8-10A7-4B9D-91F5-5AB3AFEC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583"/>
    <w:rPr>
      <w:rFonts w:ascii="Segoe UI" w:hAnsi="Segoe UI" w:cs="Segoe UI"/>
      <w:sz w:val="18"/>
      <w:szCs w:val="18"/>
    </w:rPr>
  </w:style>
  <w:style w:type="paragraph" w:styleId="Header">
    <w:name w:val="header"/>
    <w:basedOn w:val="Normal"/>
    <w:link w:val="HeaderChar"/>
    <w:uiPriority w:val="99"/>
    <w:unhideWhenUsed/>
    <w:rsid w:val="00B62AA8"/>
    <w:pPr>
      <w:tabs>
        <w:tab w:val="center" w:pos="4680"/>
        <w:tab w:val="right" w:pos="9360"/>
      </w:tabs>
    </w:pPr>
  </w:style>
  <w:style w:type="character" w:customStyle="1" w:styleId="HeaderChar">
    <w:name w:val="Header Char"/>
    <w:basedOn w:val="DefaultParagraphFont"/>
    <w:link w:val="Header"/>
    <w:uiPriority w:val="99"/>
    <w:rsid w:val="00B62AA8"/>
  </w:style>
  <w:style w:type="paragraph" w:styleId="Footer">
    <w:name w:val="footer"/>
    <w:basedOn w:val="Normal"/>
    <w:link w:val="FooterChar"/>
    <w:uiPriority w:val="99"/>
    <w:unhideWhenUsed/>
    <w:rsid w:val="00B62AA8"/>
    <w:pPr>
      <w:tabs>
        <w:tab w:val="center" w:pos="4680"/>
        <w:tab w:val="right" w:pos="9360"/>
      </w:tabs>
    </w:pPr>
  </w:style>
  <w:style w:type="character" w:customStyle="1" w:styleId="FooterChar">
    <w:name w:val="Footer Char"/>
    <w:basedOn w:val="DefaultParagraphFont"/>
    <w:link w:val="Footer"/>
    <w:uiPriority w:val="99"/>
    <w:rsid w:val="00B62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Silistria</dc:creator>
  <cp:keywords/>
  <dc:description/>
  <cp:lastModifiedBy>Julie Silistria</cp:lastModifiedBy>
  <cp:revision>5</cp:revision>
  <cp:lastPrinted>2016-05-11T18:23:00Z</cp:lastPrinted>
  <dcterms:created xsi:type="dcterms:W3CDTF">2016-05-11T16:28:00Z</dcterms:created>
  <dcterms:modified xsi:type="dcterms:W3CDTF">2016-05-11T18:56:00Z</dcterms:modified>
</cp:coreProperties>
</file>